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38" w:rsidRPr="003615E3" w:rsidRDefault="002D3838" w:rsidP="002D3838">
      <w:pPr>
        <w:spacing w:after="0"/>
        <w:jc w:val="center"/>
        <w:rPr>
          <w:b/>
        </w:rPr>
      </w:pPr>
      <w:r w:rsidRPr="003615E3">
        <w:rPr>
          <w:b/>
        </w:rPr>
        <w:t>IZBOR ČLANOVA VIJEĆA MJESNOG ODBORA KOMLETINCI</w:t>
      </w:r>
    </w:p>
    <w:p w:rsidR="004F3490" w:rsidRPr="003615E3" w:rsidRDefault="002D3838" w:rsidP="002D3838">
      <w:pPr>
        <w:tabs>
          <w:tab w:val="left" w:pos="2980"/>
        </w:tabs>
        <w:spacing w:after="0"/>
        <w:rPr>
          <w:i/>
        </w:rPr>
      </w:pPr>
      <w:r w:rsidRPr="003615E3">
        <w:rPr>
          <w:b/>
        </w:rPr>
        <w:tab/>
      </w:r>
      <w:r w:rsidRPr="003615E3">
        <w:rPr>
          <w:b/>
          <w:i/>
        </w:rPr>
        <w:t xml:space="preserve">             OBAVIJEST</w:t>
      </w:r>
    </w:p>
    <w:p w:rsidR="002D3838" w:rsidRPr="003615E3" w:rsidRDefault="002D3838" w:rsidP="002D3838">
      <w:pPr>
        <w:tabs>
          <w:tab w:val="left" w:pos="2980"/>
        </w:tabs>
        <w:spacing w:after="0"/>
        <w:rPr>
          <w:sz w:val="20"/>
        </w:rPr>
      </w:pPr>
    </w:p>
    <w:p w:rsidR="002D3838" w:rsidRPr="003615E3" w:rsidRDefault="002D3838" w:rsidP="002D3838">
      <w:pPr>
        <w:tabs>
          <w:tab w:val="left" w:pos="2980"/>
        </w:tabs>
        <w:spacing w:after="0"/>
        <w:rPr>
          <w:sz w:val="20"/>
        </w:rPr>
      </w:pPr>
    </w:p>
    <w:p w:rsidR="002D3838" w:rsidRPr="003615E3" w:rsidRDefault="002D3838" w:rsidP="002D3838">
      <w:pPr>
        <w:pStyle w:val="t-10-9-kurz-s"/>
        <w:numPr>
          <w:ilvl w:val="0"/>
          <w:numId w:val="1"/>
        </w:numPr>
        <w:shd w:val="clear" w:color="auto" w:fill="FFFFFF"/>
        <w:spacing w:before="0" w:beforeAutospacing="0" w:after="150" w:afterAutospacing="0"/>
        <w:textAlignment w:val="baseline"/>
        <w:rPr>
          <w:rFonts w:ascii="Calibri" w:hAnsi="Calibri" w:cs="Calibri"/>
          <w:i/>
          <w:iCs/>
          <w:color w:val="000000"/>
          <w:sz w:val="20"/>
          <w:u w:val="single"/>
        </w:rPr>
      </w:pPr>
      <w:r w:rsidRPr="003615E3">
        <w:rPr>
          <w:rFonts w:ascii="Calibri" w:hAnsi="Calibri" w:cs="Calibri"/>
          <w:i/>
          <w:iCs/>
          <w:color w:val="000000"/>
          <w:sz w:val="20"/>
          <w:u w:val="single"/>
        </w:rPr>
        <w:t>Obveza biračkog odbora prema biračima na biračkom mjestu</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Predsjednik biračkog odbora ili od njega ovlašteni član dužan je za svakog birača koji pristupi glasovanju utvrditi identitet i provjeriti da li je upisan u izvadak iz popisa birača za dotično biračko mjesto.</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Identitet birača utvrđuje se identifikacijskom ispravom, sukladno posebnim zakonima.</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Ako birač nije upisan u izvadak iz popisa birača, predsjednik biračkog odbora ili od njega ovlašteni član neće mu dozvoliti glasovanje, osim ako birač svoje biračko pravo na tom biračkom mjestu ne dokaže potvrdom nadležnog državnog tijela.</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Potvrdu iz stavka 3. ovoga članka birač je dužan predati biračkom odboru i ona je sastavni dio izvatka iz popisa birača za to biračko mjesto.</w:t>
      </w:r>
    </w:p>
    <w:p w:rsidR="002D3838" w:rsidRPr="003615E3" w:rsidRDefault="002D3838" w:rsidP="002D3838">
      <w:pPr>
        <w:rPr>
          <w:rFonts w:ascii="Calibri" w:hAnsi="Calibri" w:cs="Calibri"/>
          <w:color w:val="000000"/>
          <w:sz w:val="20"/>
          <w:szCs w:val="24"/>
          <w:shd w:val="clear" w:color="auto" w:fill="FFFFFF"/>
        </w:rPr>
      </w:pPr>
      <w:r w:rsidRPr="003615E3">
        <w:rPr>
          <w:rFonts w:ascii="Calibri" w:hAnsi="Calibri" w:cs="Calibri"/>
          <w:color w:val="000000"/>
          <w:sz w:val="20"/>
          <w:szCs w:val="24"/>
          <w:shd w:val="clear" w:color="auto" w:fill="FFFFFF"/>
        </w:rPr>
        <w:t xml:space="preserve"> Nakon utvrđivanja prava na glasovanje na biračkom mjestu, član biračkog odbora biraču predaje glasački listić, objašnjava način popunjavanja i upućuje ga na mjesto glasovanja. Član biračkog odbora dužan je voditi računa o tome da se onemogući uvid u serijski broj listića koji se predaje biraču.</w:t>
      </w:r>
    </w:p>
    <w:p w:rsidR="002D3838" w:rsidRPr="003615E3" w:rsidRDefault="002D3838" w:rsidP="002D3838">
      <w:pPr>
        <w:rPr>
          <w:rFonts w:ascii="Calibri" w:hAnsi="Calibri" w:cs="Calibri"/>
          <w:color w:val="000000"/>
          <w:sz w:val="20"/>
          <w:szCs w:val="24"/>
          <w:shd w:val="clear" w:color="auto" w:fill="FFFFFF"/>
        </w:rPr>
      </w:pPr>
      <w:r w:rsidRPr="003615E3">
        <w:rPr>
          <w:rFonts w:ascii="Calibri" w:hAnsi="Calibri" w:cs="Calibri"/>
          <w:color w:val="000000"/>
          <w:sz w:val="20"/>
          <w:szCs w:val="24"/>
          <w:shd w:val="clear" w:color="auto" w:fill="FFFFFF"/>
        </w:rPr>
        <w:t>Birač koji zbog kakve tjelesne mane ili zbog toga što je nepismen ne bi mogao samostalno glasovati, može doći na biračko mjesto s drugom osobom koja je pismena i koja će po njegovoj ovlasti i uputi zaokružiti redni broj ispred naziva kandidacijske liste, odnosno ispred imena kandidata za koje birač glasuje.</w:t>
      </w:r>
    </w:p>
    <w:p w:rsidR="002D3838" w:rsidRPr="003615E3" w:rsidRDefault="002D3838" w:rsidP="002D3838">
      <w:pPr>
        <w:rPr>
          <w:rFonts w:ascii="Calibri" w:hAnsi="Calibri" w:cs="Calibri"/>
          <w:color w:val="000000"/>
          <w:sz w:val="20"/>
          <w:szCs w:val="24"/>
          <w:shd w:val="clear" w:color="auto" w:fill="FFFFFF"/>
        </w:rPr>
      </w:pPr>
    </w:p>
    <w:p w:rsidR="002D3838" w:rsidRPr="003615E3" w:rsidRDefault="002D3838" w:rsidP="002D3838">
      <w:pPr>
        <w:pStyle w:val="t-10-9-kurz-s"/>
        <w:numPr>
          <w:ilvl w:val="0"/>
          <w:numId w:val="1"/>
        </w:numPr>
        <w:shd w:val="clear" w:color="auto" w:fill="FFFFFF"/>
        <w:spacing w:before="0" w:beforeAutospacing="0" w:after="150" w:afterAutospacing="0"/>
        <w:textAlignment w:val="baseline"/>
        <w:rPr>
          <w:rFonts w:ascii="Calibri" w:hAnsi="Calibri" w:cs="Calibri"/>
          <w:i/>
          <w:iCs/>
          <w:color w:val="000000"/>
          <w:sz w:val="20"/>
          <w:u w:val="single"/>
        </w:rPr>
      </w:pPr>
      <w:r w:rsidRPr="003615E3">
        <w:rPr>
          <w:rFonts w:ascii="Calibri" w:hAnsi="Calibri" w:cs="Calibri"/>
          <w:i/>
          <w:iCs/>
          <w:color w:val="000000"/>
          <w:sz w:val="20"/>
          <w:u w:val="single"/>
        </w:rPr>
        <w:t>Obveza biračkog odbora prema biračima kojima je biračko mjesto nedostupno</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Birač koji zbog teže bolesti, tjelesnog oštećenja ili nemoći nije u mogućnosti pristupiti na biračko mjesto, može o tome obavijestiti nadležno izborno povjerenstvo najranije 3 dana prije dana održavanja izbora ili birački odbor na dan održavanja izbora.</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Nadležna izborna povjerenstva zaprimljene zahtjeve birača za glasovanje izvan biračkog mjesta predaju nadležnim biračkim odborima uz cjelokupni izborni materijal.</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Predsjednik biračkog odbora određuje najmanje dva člana biračkog odbora koji će birača posjetiti u mjestu gdje se nalazi i omogućiti mu glasovanje.</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Birač je dužan najmanje jedanput presavinuti glasački listić na kojem je glasovao, staviti ga u posebnu omotnicu i zatvoriti je. Član biračkog odbora dužan je nakon povratka na biračko mjesto predati omotnicu predsjedniku biračkog odbora.</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Predsjednik biračkog odbora presavinuti glasački listić iz omotnice odmah ubacuje u glasačku kutiju na biračkom mjestu.</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Na način ostvarivanja biračkog prava birača koji pristupi na biračko mjesto, ali mu je zbog invaliditeta onemogućena pristupačnost biračkom mjestu primjenjuju se odredbe stavka 3., 4. i 5. ovoga članka.</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r w:rsidRPr="003615E3">
        <w:rPr>
          <w:rFonts w:ascii="Calibri" w:hAnsi="Calibri" w:cs="Calibri"/>
          <w:color w:val="000000"/>
          <w:sz w:val="20"/>
        </w:rPr>
        <w:t>Predsjednik biračkog odbora dužan je u zapisnik o radu biračkog odbora poimenično navesti glasovanje birača iz članka 60. stavka 3. ovoga Zakona te stavka 1. i 6. ovoga članka.</w:t>
      </w:r>
    </w:p>
    <w:p w:rsidR="002D3838" w:rsidRPr="003615E3" w:rsidRDefault="002D3838" w:rsidP="002D3838">
      <w:pPr>
        <w:pStyle w:val="t-9-8"/>
        <w:shd w:val="clear" w:color="auto" w:fill="FFFFFF"/>
        <w:spacing w:before="0" w:beforeAutospacing="0" w:after="150" w:afterAutospacing="0"/>
        <w:jc w:val="both"/>
        <w:textAlignment w:val="baseline"/>
        <w:rPr>
          <w:rFonts w:ascii="Calibri" w:hAnsi="Calibri" w:cs="Calibri"/>
          <w:color w:val="000000"/>
          <w:sz w:val="20"/>
        </w:rPr>
      </w:pPr>
    </w:p>
    <w:p w:rsidR="002D3838" w:rsidRPr="003615E3" w:rsidRDefault="002D3838" w:rsidP="002D3838">
      <w:pPr>
        <w:pStyle w:val="t-9-8"/>
        <w:numPr>
          <w:ilvl w:val="0"/>
          <w:numId w:val="1"/>
        </w:numPr>
        <w:shd w:val="clear" w:color="auto" w:fill="FFFFFF"/>
        <w:spacing w:before="0" w:beforeAutospacing="0" w:after="150" w:afterAutospacing="0"/>
        <w:jc w:val="both"/>
        <w:textAlignment w:val="baseline"/>
        <w:rPr>
          <w:rFonts w:ascii="Calibri" w:hAnsi="Calibri" w:cs="Calibri"/>
          <w:i/>
          <w:color w:val="000000"/>
          <w:sz w:val="20"/>
          <w:u w:val="single"/>
        </w:rPr>
      </w:pPr>
      <w:r w:rsidRPr="003615E3">
        <w:rPr>
          <w:rFonts w:ascii="Calibri" w:hAnsi="Calibri" w:cs="Calibri"/>
          <w:i/>
          <w:color w:val="000000"/>
          <w:sz w:val="20"/>
          <w:u w:val="single"/>
        </w:rPr>
        <w:t>Upute  biračima za glasanje na dan izbora:</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Birači su dužni, prilikom ulaska u prostoriju, omogućiti da im član biračkog odbora nanese dezinficijens na ruke ili sami nanijeti dezinficijens na ruke.</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 xml:space="preserve"> Preporučuje se da birač sa sobom donese kemijsku olovku kojom će glasati. Donošenje vlastite kemijske olovke, međutim, ne isključuje obvezu birača dezinficiranja ruku na ulazu i na izlazu iz prostorije.</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lastRenderedPageBreak/>
        <w:t xml:space="preserve"> Ako birač sa sobom ne donese kemijsku olovku kojom će glasati, za glasanje se koristi kemijska olovka na biračkom mjestu. Neophodna je pravilna i dosljedna dezinfekcija ruku na ulasku i izlasku iz prostorije, kako bi, između ostalog, istu kemijsku olovku na biračkom mjestu moglo tijekom glasanja koristiti više birača. Pored navedenog, članovi biračkog odbora vode brigu da se tijekom dana u više navrata kemijske olovke na biračkom mjestu obrišu dezinficijensom. </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U prostoriju birači ulaze i izlaze jedan po jedan na način da je razmak među biračima i ostalim prisutnim osobama najmanje 1,5 metar. Birači na red čekaju ispred ulaza prostorije, održavajući razmak od 1,5 metar.</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 xml:space="preserve"> Potrebno je voditi računa da birači, ako čekaju na ulazak u biračko mjesto u zavorenom prostoru (npr. hodniku), čekaju na zatvorenom prostoru što kraće, a prednost se daje čekanju na otvorenom kada je god to moguće organizirati. 5 </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U prostoriji može istovremeno biti samo onoliko birača koliko je označenih mjesta za glasanje.</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 xml:space="preserve"> O broju birača na biračkom mjestu vodi brigu član biračkog odbora kojeg je predsjednik, odnosno zamjenik predsjednika biračkog odbora zadužio za nanošenje dezinficijensa, odnosno kontroliranje nanošenja dezinficijensa. Birači se zadržavaju na biračkom mjestu najkraće moguće vrijeme koje je potrebno za glasanje. </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 xml:space="preserve">Preporučuje se da birači nose maske, a posebno birači s kroničnim bolestima koje možebitno predstavljaju veći rizik za razvoj težih oblika bolesti SARS-CoV-2 COVID-19 (npr. osobe s kroničnim respiratornim, kardiovaskularnim, malignim bolestima, dijabetesom, imunodeficijencijama, osobe s većim tjelesnih/motoričkim oštećenjima). </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 xml:space="preserve">Ako birač koristi masku, kod provjere identiteta, birač nakratko skida masku na udaljenosti od 2 metra od člana biračkog odbora, koji je zadužen za provjeravanje identiteta birača, kao i od drugih osoba. </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 xml:space="preserve">Biraču koji na biračko mjesto pristupi bez maske mora se omogućiti glasanje uz pridržavanje svih drugih epidemioloških mjera propisanih ovim Tehničkim uputama. </w:t>
      </w:r>
    </w:p>
    <w:p w:rsidR="002D3838" w:rsidRPr="003615E3" w:rsidRDefault="002D3838" w:rsidP="002D3838">
      <w:pPr>
        <w:pStyle w:val="ListParagraph"/>
        <w:numPr>
          <w:ilvl w:val="0"/>
          <w:numId w:val="2"/>
        </w:numPr>
        <w:jc w:val="both"/>
        <w:rPr>
          <w:rFonts w:ascii="Calibri" w:hAnsi="Calibri" w:cs="Calibri"/>
          <w:szCs w:val="24"/>
        </w:rPr>
      </w:pPr>
      <w:r w:rsidRPr="003615E3">
        <w:rPr>
          <w:sz w:val="20"/>
        </w:rPr>
        <w:t>Birači ne trebaju nositi rukavice, osim ako imaju oštećenja kože i noktiju na rukama.</w:t>
      </w:r>
    </w:p>
    <w:p w:rsidR="00742ABC" w:rsidRPr="003615E3" w:rsidRDefault="00742ABC" w:rsidP="002D3838">
      <w:pPr>
        <w:jc w:val="both"/>
        <w:rPr>
          <w:rFonts w:ascii="Calibri" w:hAnsi="Calibri" w:cs="Calibri"/>
          <w:szCs w:val="24"/>
        </w:rPr>
      </w:pPr>
    </w:p>
    <w:p w:rsidR="002D3838" w:rsidRPr="003615E3" w:rsidRDefault="002D3838" w:rsidP="00742ABC">
      <w:pPr>
        <w:pStyle w:val="ListParagraph"/>
        <w:numPr>
          <w:ilvl w:val="0"/>
          <w:numId w:val="3"/>
        </w:numPr>
        <w:jc w:val="both"/>
        <w:rPr>
          <w:rFonts w:ascii="Calibri" w:hAnsi="Calibri" w:cs="Calibri"/>
          <w:sz w:val="20"/>
          <w:szCs w:val="24"/>
        </w:rPr>
      </w:pPr>
      <w:r w:rsidRPr="003615E3">
        <w:rPr>
          <w:rFonts w:ascii="Calibri" w:hAnsi="Calibri" w:cs="Calibri"/>
          <w:sz w:val="20"/>
          <w:szCs w:val="24"/>
        </w:rPr>
        <w:t>Kontakt telefon predsjednika i zamjenika pre</w:t>
      </w:r>
      <w:r w:rsidR="00742ABC" w:rsidRPr="003615E3">
        <w:rPr>
          <w:rFonts w:ascii="Calibri" w:hAnsi="Calibri" w:cs="Calibri"/>
          <w:sz w:val="20"/>
          <w:szCs w:val="24"/>
        </w:rPr>
        <w:t>dsjednika biračkog odbora za bir</w:t>
      </w:r>
      <w:r w:rsidRPr="003615E3">
        <w:rPr>
          <w:rFonts w:ascii="Calibri" w:hAnsi="Calibri" w:cs="Calibri"/>
          <w:sz w:val="20"/>
          <w:szCs w:val="24"/>
        </w:rPr>
        <w:t>ačko mjesto broj 1. (</w:t>
      </w:r>
      <w:r w:rsidR="00742ABC" w:rsidRPr="003615E3">
        <w:rPr>
          <w:rFonts w:ascii="Calibri" w:hAnsi="Calibri" w:cs="Calibri"/>
          <w:sz w:val="20"/>
          <w:szCs w:val="24"/>
        </w:rPr>
        <w:t>Zgrada Mjesnog odbora Komletinci):</w:t>
      </w:r>
    </w:p>
    <w:p w:rsidR="00742ABC" w:rsidRPr="003615E3" w:rsidRDefault="00742ABC" w:rsidP="00742ABC">
      <w:pPr>
        <w:pStyle w:val="ListParagraph"/>
        <w:numPr>
          <w:ilvl w:val="0"/>
          <w:numId w:val="2"/>
        </w:numPr>
        <w:jc w:val="both"/>
        <w:rPr>
          <w:rFonts w:ascii="Calibri" w:hAnsi="Calibri" w:cs="Calibri"/>
          <w:sz w:val="20"/>
          <w:szCs w:val="24"/>
        </w:rPr>
      </w:pPr>
      <w:r w:rsidRPr="003615E3">
        <w:rPr>
          <w:rFonts w:ascii="Calibri" w:hAnsi="Calibri" w:cs="Calibri"/>
          <w:sz w:val="20"/>
          <w:szCs w:val="24"/>
        </w:rPr>
        <w:t>Marija Gajić, predsjednica, 097/6535-215</w:t>
      </w:r>
    </w:p>
    <w:p w:rsidR="00742ABC" w:rsidRDefault="00742ABC" w:rsidP="00742ABC">
      <w:pPr>
        <w:pStyle w:val="ListParagraph"/>
        <w:numPr>
          <w:ilvl w:val="0"/>
          <w:numId w:val="2"/>
        </w:numPr>
        <w:jc w:val="both"/>
        <w:rPr>
          <w:rFonts w:ascii="Calibri" w:hAnsi="Calibri" w:cs="Calibri"/>
          <w:sz w:val="20"/>
          <w:szCs w:val="24"/>
        </w:rPr>
      </w:pPr>
      <w:r w:rsidRPr="003615E3">
        <w:rPr>
          <w:rFonts w:ascii="Calibri" w:hAnsi="Calibri" w:cs="Calibri"/>
          <w:sz w:val="20"/>
          <w:szCs w:val="24"/>
        </w:rPr>
        <w:t>Jozefina Lučić, zamjenica predsjednice, 099/7856-040</w:t>
      </w:r>
    </w:p>
    <w:p w:rsidR="00CB6776" w:rsidRPr="00CB6776" w:rsidRDefault="00CB6776" w:rsidP="00CB6776">
      <w:pPr>
        <w:pStyle w:val="ListParagraph"/>
        <w:jc w:val="both"/>
        <w:rPr>
          <w:rFonts w:ascii="Calibri" w:hAnsi="Calibri" w:cs="Calibri"/>
          <w:sz w:val="20"/>
          <w:szCs w:val="24"/>
        </w:rPr>
      </w:pPr>
    </w:p>
    <w:p w:rsidR="00742ABC" w:rsidRPr="003615E3" w:rsidRDefault="00742ABC" w:rsidP="00742ABC">
      <w:pPr>
        <w:pStyle w:val="ListParagraph"/>
        <w:numPr>
          <w:ilvl w:val="0"/>
          <w:numId w:val="3"/>
        </w:numPr>
        <w:spacing w:after="0"/>
        <w:jc w:val="both"/>
        <w:rPr>
          <w:rFonts w:ascii="Calibri" w:hAnsi="Calibri" w:cs="Calibri"/>
          <w:sz w:val="20"/>
          <w:szCs w:val="24"/>
        </w:rPr>
      </w:pPr>
      <w:r w:rsidRPr="003615E3">
        <w:rPr>
          <w:rFonts w:ascii="Calibri" w:hAnsi="Calibri" w:cs="Calibri"/>
          <w:sz w:val="20"/>
          <w:szCs w:val="24"/>
        </w:rPr>
        <w:t>Kontakt telefon predsjednika i zamjenika predsjednika biračkog odbora za briačko mjesto broj 2. (Zgrada Osnovne škole):</w:t>
      </w:r>
    </w:p>
    <w:p w:rsidR="00742ABC" w:rsidRPr="003615E3" w:rsidRDefault="00742ABC" w:rsidP="00742ABC">
      <w:pPr>
        <w:spacing w:after="0"/>
        <w:jc w:val="both"/>
        <w:rPr>
          <w:rFonts w:ascii="Calibri" w:hAnsi="Calibri" w:cs="Calibri"/>
          <w:sz w:val="20"/>
          <w:szCs w:val="24"/>
        </w:rPr>
      </w:pPr>
      <w:r w:rsidRPr="003615E3">
        <w:rPr>
          <w:rFonts w:ascii="Calibri" w:hAnsi="Calibri" w:cs="Calibri"/>
          <w:sz w:val="20"/>
          <w:szCs w:val="24"/>
        </w:rPr>
        <w:t xml:space="preserve">               - Iva Varga, predsjednica, 098/1898-250</w:t>
      </w:r>
    </w:p>
    <w:p w:rsidR="00742ABC" w:rsidRPr="003615E3" w:rsidRDefault="00742ABC" w:rsidP="00742ABC">
      <w:pPr>
        <w:spacing w:after="0"/>
        <w:jc w:val="both"/>
        <w:rPr>
          <w:rFonts w:ascii="Calibri" w:hAnsi="Calibri" w:cs="Calibri"/>
          <w:sz w:val="20"/>
          <w:szCs w:val="24"/>
        </w:rPr>
      </w:pPr>
      <w:r w:rsidRPr="003615E3">
        <w:rPr>
          <w:rFonts w:ascii="Calibri" w:hAnsi="Calibri" w:cs="Calibri"/>
          <w:sz w:val="20"/>
          <w:szCs w:val="24"/>
        </w:rPr>
        <w:t xml:space="preserve">               - Emily Vujica, zamjenica predsjednice, 099/7831-970</w:t>
      </w:r>
    </w:p>
    <w:p w:rsidR="00742ABC" w:rsidRPr="003615E3" w:rsidRDefault="00742ABC" w:rsidP="00742ABC">
      <w:pPr>
        <w:spacing w:after="0"/>
        <w:jc w:val="both"/>
        <w:rPr>
          <w:rFonts w:ascii="Calibri" w:hAnsi="Calibri" w:cs="Calibri"/>
          <w:sz w:val="20"/>
          <w:szCs w:val="24"/>
        </w:rPr>
      </w:pPr>
    </w:p>
    <w:p w:rsidR="00742ABC" w:rsidRPr="003615E3" w:rsidRDefault="00742ABC" w:rsidP="00742ABC">
      <w:pPr>
        <w:pStyle w:val="ListParagraph"/>
        <w:numPr>
          <w:ilvl w:val="0"/>
          <w:numId w:val="4"/>
        </w:numPr>
        <w:spacing w:after="0"/>
        <w:jc w:val="both"/>
        <w:rPr>
          <w:rFonts w:ascii="Calibri" w:hAnsi="Calibri" w:cs="Calibri"/>
          <w:sz w:val="20"/>
          <w:szCs w:val="24"/>
        </w:rPr>
      </w:pPr>
      <w:r w:rsidRPr="003615E3">
        <w:rPr>
          <w:rFonts w:ascii="Calibri" w:hAnsi="Calibri" w:cs="Calibri"/>
          <w:sz w:val="20"/>
          <w:szCs w:val="24"/>
        </w:rPr>
        <w:t>Kontakt telefon predsjednika i zamjenika predsjednika Povjerenstva za izbor članova Vijeća mjesnog odbora Komletinci:</w:t>
      </w:r>
    </w:p>
    <w:p w:rsidR="00742ABC" w:rsidRPr="003615E3" w:rsidRDefault="00742ABC" w:rsidP="00742ABC">
      <w:pPr>
        <w:pStyle w:val="ListParagraph"/>
        <w:numPr>
          <w:ilvl w:val="0"/>
          <w:numId w:val="2"/>
        </w:numPr>
        <w:spacing w:after="0"/>
        <w:jc w:val="both"/>
        <w:rPr>
          <w:rFonts w:ascii="Calibri" w:hAnsi="Calibri" w:cs="Calibri"/>
          <w:sz w:val="20"/>
          <w:szCs w:val="24"/>
        </w:rPr>
      </w:pPr>
      <w:r w:rsidRPr="003615E3">
        <w:rPr>
          <w:rFonts w:ascii="Calibri" w:hAnsi="Calibri" w:cs="Calibri"/>
          <w:sz w:val="20"/>
          <w:szCs w:val="24"/>
        </w:rPr>
        <w:t>Drago Martinović, predsjednik, 091/5177-811</w:t>
      </w:r>
    </w:p>
    <w:p w:rsidR="00742ABC" w:rsidRPr="003615E3" w:rsidRDefault="00742ABC" w:rsidP="00742ABC">
      <w:pPr>
        <w:pStyle w:val="ListParagraph"/>
        <w:numPr>
          <w:ilvl w:val="0"/>
          <w:numId w:val="2"/>
        </w:numPr>
        <w:spacing w:after="0"/>
        <w:jc w:val="both"/>
        <w:rPr>
          <w:rFonts w:ascii="Calibri" w:hAnsi="Calibri" w:cs="Calibri"/>
          <w:sz w:val="20"/>
          <w:szCs w:val="24"/>
        </w:rPr>
      </w:pPr>
      <w:r w:rsidRPr="003615E3">
        <w:rPr>
          <w:rFonts w:ascii="Calibri" w:hAnsi="Calibri" w:cs="Calibri"/>
          <w:sz w:val="20"/>
          <w:szCs w:val="24"/>
        </w:rPr>
        <w:t>Marko Tadić, zamjenik predsjednika, 098/543-012</w:t>
      </w:r>
    </w:p>
    <w:p w:rsidR="00742ABC" w:rsidRPr="003615E3" w:rsidRDefault="00742ABC" w:rsidP="00742ABC">
      <w:pPr>
        <w:spacing w:after="0"/>
        <w:jc w:val="both"/>
        <w:rPr>
          <w:rFonts w:ascii="Calibri" w:hAnsi="Calibri" w:cs="Calibri"/>
          <w:sz w:val="20"/>
          <w:szCs w:val="24"/>
        </w:rPr>
      </w:pPr>
    </w:p>
    <w:p w:rsidR="002D3838" w:rsidRPr="003615E3" w:rsidRDefault="00742ABC" w:rsidP="00742ABC">
      <w:pPr>
        <w:tabs>
          <w:tab w:val="left" w:pos="2980"/>
        </w:tabs>
        <w:spacing w:after="0"/>
        <w:jc w:val="both"/>
        <w:rPr>
          <w:b/>
          <w:sz w:val="18"/>
        </w:rPr>
      </w:pPr>
      <w:r w:rsidRPr="003615E3">
        <w:rPr>
          <w:rFonts w:ascii="Calibri" w:hAnsi="Calibri" w:cs="Calibri"/>
          <w:b/>
          <w:color w:val="000000"/>
          <w:sz w:val="20"/>
        </w:rPr>
        <w:t>Birač koji zbog teže bolesti, tjelesnog oštećenja ili nemoći nije u mogućnosti pristupiti na biračko mjesto, može o tome obavijestiti nadležni birački odbor</w:t>
      </w:r>
      <w:r w:rsidR="00CB6776">
        <w:rPr>
          <w:rFonts w:ascii="Calibri" w:hAnsi="Calibri" w:cs="Calibri"/>
          <w:b/>
          <w:color w:val="000000"/>
          <w:sz w:val="20"/>
        </w:rPr>
        <w:t xml:space="preserve"> uz predočenje osobne iskaznice</w:t>
      </w:r>
      <w:r w:rsidRPr="003615E3">
        <w:rPr>
          <w:rFonts w:ascii="Calibri" w:hAnsi="Calibri" w:cs="Calibri"/>
          <w:b/>
          <w:color w:val="000000"/>
          <w:sz w:val="20"/>
        </w:rPr>
        <w:t xml:space="preserve"> do 23. kolovoza 2020.</w:t>
      </w:r>
      <w:r w:rsidR="00CB6776">
        <w:rPr>
          <w:rFonts w:ascii="Calibri" w:hAnsi="Calibri" w:cs="Calibri"/>
          <w:b/>
          <w:color w:val="000000"/>
          <w:sz w:val="20"/>
        </w:rPr>
        <w:t>g</w:t>
      </w:r>
      <w:r w:rsidRPr="003615E3">
        <w:rPr>
          <w:rFonts w:ascii="Calibri" w:hAnsi="Calibri" w:cs="Calibri"/>
          <w:b/>
          <w:color w:val="000000"/>
          <w:sz w:val="20"/>
        </w:rPr>
        <w:t xml:space="preserve"> do 12,00 sati.</w:t>
      </w:r>
    </w:p>
    <w:sectPr w:rsidR="002D3838" w:rsidRPr="003615E3" w:rsidSect="003615E3">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4A50"/>
    <w:multiLevelType w:val="hybridMultilevel"/>
    <w:tmpl w:val="29DC49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8416A0"/>
    <w:multiLevelType w:val="hybridMultilevel"/>
    <w:tmpl w:val="624C8FCC"/>
    <w:lvl w:ilvl="0" w:tplc="041A0001">
      <w:start w:val="1"/>
      <w:numFmt w:val="bullet"/>
      <w:lvlText w:val=""/>
      <w:lvlJc w:val="left"/>
      <w:pPr>
        <w:ind w:left="720" w:hanging="360"/>
      </w:pPr>
      <w:rPr>
        <w:rFonts w:ascii="Symbol" w:hAnsi="Symbol"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FFE0F11"/>
    <w:multiLevelType w:val="hybridMultilevel"/>
    <w:tmpl w:val="D5769078"/>
    <w:lvl w:ilvl="0" w:tplc="84B6AB96">
      <w:start w:val="7"/>
      <w:numFmt w:val="bullet"/>
      <w:lvlText w:val="-"/>
      <w:lvlJc w:val="left"/>
      <w:pPr>
        <w:ind w:left="720" w:hanging="360"/>
      </w:pPr>
      <w:rPr>
        <w:rFonts w:ascii="Calibri" w:eastAsiaTheme="minorEastAsia"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C1B3442"/>
    <w:multiLevelType w:val="hybridMultilevel"/>
    <w:tmpl w:val="247C1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2D3838"/>
    <w:rsid w:val="002D3838"/>
    <w:rsid w:val="003615E3"/>
    <w:rsid w:val="004F3490"/>
    <w:rsid w:val="00742ABC"/>
    <w:rsid w:val="00CB677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4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0-9-kurz-s">
    <w:name w:val="t-10-9-kurz-s"/>
    <w:basedOn w:val="Normal"/>
    <w:rsid w:val="002D3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ak">
    <w:name w:val="clanak"/>
    <w:basedOn w:val="Normal"/>
    <w:rsid w:val="002D38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2D38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38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2020-08-19T09:14:00Z</cp:lastPrinted>
  <dcterms:created xsi:type="dcterms:W3CDTF">2020-08-19T07:17:00Z</dcterms:created>
  <dcterms:modified xsi:type="dcterms:W3CDTF">2020-08-19T12:23:00Z</dcterms:modified>
</cp:coreProperties>
</file>