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EF" w:rsidRDefault="00DE7160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ab/>
      </w:r>
    </w:p>
    <w:p w:rsidR="00DE7160" w:rsidRDefault="00DE4603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REPUBLIKA HRVATSKA</w:t>
      </w:r>
    </w:p>
    <w:p w:rsidR="00DE4603" w:rsidRDefault="00DE4603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VUKOVARSKO-SRIJEMSKA ŽUPANIJA</w:t>
      </w:r>
    </w:p>
    <w:p w:rsidR="00DE7160" w:rsidRPr="00DE4603" w:rsidRDefault="00DE4603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DE4603">
        <w:rPr>
          <w:rFonts w:ascii="Times New Roman" w:eastAsia="Times New Roman" w:hAnsi="Times New Roman" w:cs="Times New Roman"/>
          <w:b/>
          <w:u w:val="single"/>
          <w:lang w:val="en-GB"/>
        </w:rPr>
        <w:t>GRAD OTOK</w:t>
      </w:r>
    </w:p>
    <w:p w:rsidR="00DE7160" w:rsidRDefault="00DE7160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DE7160" w:rsidRDefault="00DE7160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KLASA</w:t>
      </w:r>
      <w:proofErr w:type="gramStart"/>
      <w:r>
        <w:rPr>
          <w:rFonts w:ascii="Times New Roman" w:eastAsia="Times New Roman" w:hAnsi="Times New Roman" w:cs="Times New Roman"/>
          <w:b/>
          <w:lang w:val="en-GB"/>
        </w:rPr>
        <w:t>:</w:t>
      </w:r>
      <w:r w:rsidR="00005CB7">
        <w:rPr>
          <w:rFonts w:ascii="Times New Roman" w:eastAsia="Times New Roman" w:hAnsi="Times New Roman" w:cs="Times New Roman"/>
          <w:b/>
          <w:lang w:val="en-GB"/>
        </w:rPr>
        <w:t>112</w:t>
      </w:r>
      <w:proofErr w:type="gramEnd"/>
      <w:r w:rsidR="00005CB7">
        <w:rPr>
          <w:rFonts w:ascii="Times New Roman" w:eastAsia="Times New Roman" w:hAnsi="Times New Roman" w:cs="Times New Roman"/>
          <w:b/>
          <w:lang w:val="en-GB"/>
        </w:rPr>
        <w:t>-02/24-01/02</w:t>
      </w:r>
    </w:p>
    <w:p w:rsidR="00DE7160" w:rsidRDefault="00DE7160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URBROJ</w:t>
      </w:r>
      <w:proofErr w:type="gramStart"/>
      <w:r>
        <w:rPr>
          <w:rFonts w:ascii="Times New Roman" w:eastAsia="Times New Roman" w:hAnsi="Times New Roman" w:cs="Times New Roman"/>
          <w:b/>
          <w:lang w:val="en-GB"/>
        </w:rPr>
        <w:t>:</w:t>
      </w:r>
      <w:r w:rsidR="00DE4603">
        <w:rPr>
          <w:rFonts w:ascii="Times New Roman" w:eastAsia="Times New Roman" w:hAnsi="Times New Roman" w:cs="Times New Roman"/>
          <w:b/>
          <w:lang w:val="en-GB"/>
        </w:rPr>
        <w:t>2196</w:t>
      </w:r>
      <w:proofErr w:type="gramEnd"/>
      <w:r w:rsidR="00DE4603">
        <w:rPr>
          <w:rFonts w:ascii="Times New Roman" w:eastAsia="Times New Roman" w:hAnsi="Times New Roman" w:cs="Times New Roman"/>
          <w:b/>
          <w:lang w:val="en-GB"/>
        </w:rPr>
        <w:t>-3-24-02-3</w:t>
      </w:r>
    </w:p>
    <w:p w:rsidR="00DE7160" w:rsidRDefault="00005CB7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lang w:val="en-GB"/>
        </w:rPr>
        <w:t>Otok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>.</w:t>
      </w:r>
      <w:proofErr w:type="gramEnd"/>
      <w:r>
        <w:rPr>
          <w:rFonts w:ascii="Times New Roman" w:eastAsia="Times New Roman" w:hAnsi="Times New Roman" w:cs="Times New Roman"/>
          <w:b/>
          <w:lang w:val="en-GB"/>
        </w:rPr>
        <w:t xml:space="preserve"> 01.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lang w:val="en-GB"/>
        </w:rPr>
        <w:t>veljače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val="en-GB"/>
        </w:rPr>
        <w:t xml:space="preserve"> 2024. godine</w:t>
      </w:r>
    </w:p>
    <w:p w:rsidR="00DE7160" w:rsidRDefault="00DE7160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DE7160" w:rsidRPr="00DE7160" w:rsidRDefault="00DE7160" w:rsidP="00DE7160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DE4603" w:rsidRDefault="003A32EF" w:rsidP="00DE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DE7160">
        <w:rPr>
          <w:rFonts w:ascii="Times New Roman" w:eastAsia="Times New Roman" w:hAnsi="Times New Roman" w:cs="Times New Roman"/>
          <w:b/>
          <w:lang w:val="en-GB"/>
        </w:rPr>
        <w:t>Javni</w:t>
      </w:r>
      <w:proofErr w:type="spellEnd"/>
      <w:r w:rsidRPr="00DE7160"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 w:rsidRPr="00DE7160">
        <w:rPr>
          <w:rFonts w:ascii="Times New Roman" w:eastAsia="Times New Roman" w:hAnsi="Times New Roman" w:cs="Times New Roman"/>
          <w:b/>
          <w:lang w:val="en-GB"/>
        </w:rPr>
        <w:t>natječaj</w:t>
      </w:r>
      <w:proofErr w:type="spellEnd"/>
      <w:r w:rsidRPr="00DE7160"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 w:rsidRPr="00DE7160">
        <w:rPr>
          <w:rFonts w:ascii="Times New Roman" w:eastAsia="Times New Roman" w:hAnsi="Times New Roman" w:cs="Times New Roman"/>
          <w:b/>
          <w:lang w:val="en-GB"/>
        </w:rPr>
        <w:t>za</w:t>
      </w:r>
      <w:proofErr w:type="spellEnd"/>
      <w:r w:rsidRPr="00DE7160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Pr="00DE7160">
        <w:rPr>
          <w:rFonts w:ascii="Times New Roman" w:eastAsia="Calibri" w:hAnsi="Times New Roman" w:cs="Times New Roman"/>
          <w:b/>
        </w:rPr>
        <w:t xml:space="preserve">imenovanje pročelnika/ice </w:t>
      </w:r>
      <w:r w:rsidR="00023F30" w:rsidRPr="00DE7160">
        <w:rPr>
          <w:rFonts w:ascii="Times New Roman" w:eastAsia="Calibri" w:hAnsi="Times New Roman" w:cs="Times New Roman"/>
          <w:b/>
        </w:rPr>
        <w:t xml:space="preserve">Upravnog odjela za komunalno gospodarstvo, poljoprivredu i pravne poslove </w:t>
      </w:r>
      <w:proofErr w:type="spellStart"/>
      <w:r w:rsidRPr="00DE7160">
        <w:rPr>
          <w:rFonts w:ascii="Times New Roman" w:eastAsia="Times New Roman" w:hAnsi="Times New Roman" w:cs="Times New Roman"/>
          <w:b/>
          <w:lang w:val="en-GB"/>
        </w:rPr>
        <w:t>objavljen</w:t>
      </w:r>
      <w:proofErr w:type="spellEnd"/>
      <w:r w:rsidRPr="00DE7160">
        <w:rPr>
          <w:rFonts w:ascii="Times New Roman" w:eastAsia="Times New Roman" w:hAnsi="Times New Roman" w:cs="Times New Roman"/>
          <w:b/>
          <w:lang w:val="en-GB"/>
        </w:rPr>
        <w:t xml:space="preserve"> u</w:t>
      </w:r>
    </w:p>
    <w:p w:rsidR="003A32EF" w:rsidRPr="00DE4603" w:rsidRDefault="003A32EF" w:rsidP="00DE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DE7160">
        <w:rPr>
          <w:rFonts w:ascii="Times New Roman" w:eastAsia="Times New Roman" w:hAnsi="Times New Roman" w:cs="Times New Roman"/>
          <w:b/>
          <w:lang w:val="en-GB"/>
        </w:rPr>
        <w:t xml:space="preserve"> „</w:t>
      </w:r>
      <w:proofErr w:type="spellStart"/>
      <w:r w:rsidRPr="00DE7160">
        <w:rPr>
          <w:rFonts w:ascii="Times New Roman" w:eastAsia="Times New Roman" w:hAnsi="Times New Roman" w:cs="Times New Roman"/>
          <w:b/>
          <w:lang w:val="en-GB"/>
        </w:rPr>
        <w:t>Narodnim</w:t>
      </w:r>
      <w:proofErr w:type="spellEnd"/>
      <w:r w:rsidRPr="00DE7160"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 w:rsidRPr="00DE7160">
        <w:rPr>
          <w:rFonts w:ascii="Times New Roman" w:eastAsia="Times New Roman" w:hAnsi="Times New Roman" w:cs="Times New Roman"/>
          <w:b/>
          <w:lang w:val="en-GB"/>
        </w:rPr>
        <w:t>novinama</w:t>
      </w:r>
      <w:proofErr w:type="spellEnd"/>
      <w:proofErr w:type="gramStart"/>
      <w:r w:rsidRPr="00DE7160">
        <w:rPr>
          <w:rFonts w:ascii="Times New Roman" w:eastAsia="Times New Roman" w:hAnsi="Times New Roman" w:cs="Times New Roman"/>
          <w:b/>
          <w:lang w:val="en-GB"/>
        </w:rPr>
        <w:t xml:space="preserve">“ </w:t>
      </w:r>
      <w:proofErr w:type="spellStart"/>
      <w:r w:rsidRPr="00DE7160">
        <w:rPr>
          <w:rFonts w:ascii="Times New Roman" w:eastAsia="Times New Roman" w:hAnsi="Times New Roman" w:cs="Times New Roman"/>
          <w:b/>
          <w:lang w:val="en-GB"/>
        </w:rPr>
        <w:t>broj</w:t>
      </w:r>
      <w:proofErr w:type="spellEnd"/>
      <w:proofErr w:type="gramEnd"/>
      <w:r w:rsidR="00DE4603">
        <w:rPr>
          <w:rFonts w:ascii="Times New Roman" w:eastAsia="Times New Roman" w:hAnsi="Times New Roman" w:cs="Times New Roman"/>
          <w:b/>
          <w:lang w:val="en-GB"/>
        </w:rPr>
        <w:t xml:space="preserve"> 13/2024, </w:t>
      </w:r>
      <w:proofErr w:type="spellStart"/>
      <w:r w:rsidR="00DE4603">
        <w:rPr>
          <w:rFonts w:ascii="Times New Roman" w:eastAsia="Times New Roman" w:hAnsi="Times New Roman" w:cs="Times New Roman"/>
          <w:b/>
          <w:lang w:val="en-GB"/>
        </w:rPr>
        <w:t>od</w:t>
      </w:r>
      <w:proofErr w:type="spellEnd"/>
      <w:r w:rsidR="00DE4603">
        <w:rPr>
          <w:rFonts w:ascii="Times New Roman" w:eastAsia="Times New Roman" w:hAnsi="Times New Roman" w:cs="Times New Roman"/>
          <w:b/>
          <w:lang w:val="en-GB"/>
        </w:rPr>
        <w:t xml:space="preserve"> 02. </w:t>
      </w:r>
      <w:proofErr w:type="spellStart"/>
      <w:proofErr w:type="gramStart"/>
      <w:r w:rsidR="00DE4603">
        <w:rPr>
          <w:rFonts w:ascii="Times New Roman" w:eastAsia="Times New Roman" w:hAnsi="Times New Roman" w:cs="Times New Roman"/>
          <w:b/>
          <w:lang w:val="en-GB"/>
        </w:rPr>
        <w:t>veljače</w:t>
      </w:r>
      <w:proofErr w:type="spellEnd"/>
      <w:proofErr w:type="gramEnd"/>
      <w:r w:rsidR="00DE4603">
        <w:rPr>
          <w:rFonts w:ascii="Times New Roman" w:eastAsia="Times New Roman" w:hAnsi="Times New Roman" w:cs="Times New Roman"/>
          <w:b/>
          <w:lang w:val="en-GB"/>
        </w:rPr>
        <w:t xml:space="preserve"> 2024. </w:t>
      </w:r>
      <w:proofErr w:type="spellStart"/>
      <w:proofErr w:type="gramStart"/>
      <w:r w:rsidR="00DE4603">
        <w:rPr>
          <w:rFonts w:ascii="Times New Roman" w:eastAsia="Times New Roman" w:hAnsi="Times New Roman" w:cs="Times New Roman"/>
          <w:b/>
          <w:lang w:val="en-GB"/>
        </w:rPr>
        <w:t>godine</w:t>
      </w:r>
      <w:proofErr w:type="spellEnd"/>
      <w:proofErr w:type="gramEnd"/>
    </w:p>
    <w:p w:rsidR="003A32EF" w:rsidRPr="00DE7160" w:rsidRDefault="003A32EF" w:rsidP="003A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3A32EF" w:rsidRPr="00DE7160" w:rsidRDefault="003A32EF" w:rsidP="003A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3A32EF" w:rsidRPr="00DE7160" w:rsidRDefault="003A32EF" w:rsidP="003A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DE7160">
        <w:rPr>
          <w:rFonts w:ascii="Times New Roman" w:eastAsia="Times New Roman" w:hAnsi="Times New Roman" w:cs="Times New Roman"/>
          <w:b/>
          <w:lang w:val="en-GB"/>
        </w:rPr>
        <w:t>OPIS POSLOVA, PODACI O PLAĆI RADNOG MJESTA,</w:t>
      </w:r>
    </w:p>
    <w:p w:rsidR="003A32EF" w:rsidRPr="00DE7160" w:rsidRDefault="003A32EF" w:rsidP="003A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DE7160">
        <w:rPr>
          <w:rFonts w:ascii="Times New Roman" w:eastAsia="Times New Roman" w:hAnsi="Times New Roman" w:cs="Times New Roman"/>
          <w:b/>
          <w:lang w:val="en-GB"/>
        </w:rPr>
        <w:t>PRAVNI IZVORI ZA PRIPREMU KANDIDATA/KINJA ZA TESTIRANJE TE SADRŽAJ I NAČIN TESTIRANJA</w:t>
      </w:r>
    </w:p>
    <w:p w:rsidR="003A32EF" w:rsidRPr="00DE7160" w:rsidRDefault="003A32EF" w:rsidP="003A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3A32EF" w:rsidRPr="00DE7160" w:rsidRDefault="003A32EF" w:rsidP="003A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DE716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1. Pročelnik/ica Upravnog odjela za </w:t>
      </w:r>
      <w:r w:rsidR="00023F30" w:rsidRPr="00DE7160">
        <w:rPr>
          <w:rFonts w:ascii="Times New Roman" w:eastAsia="Calibri" w:hAnsi="Times New Roman" w:cs="Times New Roman"/>
          <w:b/>
        </w:rPr>
        <w:t>komunalno gospodarstvo, poljoprivredu i pravne poslove</w:t>
      </w:r>
    </w:p>
    <w:p w:rsidR="003A32EF" w:rsidRPr="00DE7160" w:rsidRDefault="003A32EF" w:rsidP="003A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DE716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- </w:t>
      </w:r>
      <w:r w:rsidRPr="00DE7160">
        <w:rPr>
          <w:rFonts w:ascii="Times New Roman" w:eastAsia="Times New Roman" w:hAnsi="Times New Roman" w:cs="Times New Roman"/>
          <w:color w:val="000000"/>
          <w:lang w:eastAsia="hr-HR"/>
        </w:rPr>
        <w:t xml:space="preserve">1 izvršitelj/ica na neodređeno vrijeme 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eastAsia="hr-HR"/>
        </w:rPr>
      </w:pPr>
      <w:r w:rsidRPr="00DE7160">
        <w:rPr>
          <w:rFonts w:ascii="Times New Roman" w:eastAsia="Calibri" w:hAnsi="Times New Roman" w:cs="Times New Roman"/>
          <w:b/>
          <w:bCs/>
          <w:u w:val="single"/>
          <w:lang w:eastAsia="hr-HR"/>
        </w:rPr>
        <w:t xml:space="preserve">Opis poslova radnog mjesta </w:t>
      </w:r>
    </w:p>
    <w:p w:rsidR="003A32EF" w:rsidRPr="00DE7160" w:rsidRDefault="003A32EF" w:rsidP="003A32EF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3F30" w:rsidRPr="00DE7160" w:rsidRDefault="00DE7160" w:rsidP="00023F3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  </w:t>
      </w:r>
      <w:r w:rsidR="00023F30" w:rsidRPr="00DE7160">
        <w:rPr>
          <w:rFonts w:ascii="Times New Roman" w:hAnsi="Times New Roman" w:cs="Times New Roman"/>
          <w:i/>
        </w:rPr>
        <w:t>planira, organizira, koordinira, usklađuje i vodi te odgovara za rad Upravnog odjela,</w:t>
      </w:r>
    </w:p>
    <w:p w:rsidR="00023F30" w:rsidRPr="00DE7160" w:rsidRDefault="00023F30" w:rsidP="00023F3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E7160">
        <w:rPr>
          <w:rFonts w:ascii="Times New Roman" w:hAnsi="Times New Roman" w:cs="Times New Roman"/>
          <w:i/>
        </w:rPr>
        <w:t xml:space="preserve">- sudjeluje u rješavanju strateških pitanja i obrađuje najsloženija stručna pitanja i o njima svoja mišljenja i prijedloge daje gradonačelniku i Gradskom vijeću </w:t>
      </w:r>
    </w:p>
    <w:p w:rsidR="00023F30" w:rsidRPr="00DE7160" w:rsidRDefault="00023F30" w:rsidP="00023F3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E7160">
        <w:rPr>
          <w:rFonts w:ascii="Times New Roman" w:hAnsi="Times New Roman" w:cs="Times New Roman"/>
          <w:i/>
        </w:rPr>
        <w:t xml:space="preserve">- donosi i potpisuje rješenja, akte i materijale upravnog odjela te daje upute ua rješavanje u najsloženijim upravnim stvarima </w:t>
      </w:r>
    </w:p>
    <w:p w:rsidR="00023F30" w:rsidRPr="00DE7160" w:rsidRDefault="00023F30" w:rsidP="00023F3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E7160">
        <w:rPr>
          <w:rFonts w:ascii="Times New Roman" w:hAnsi="Times New Roman" w:cs="Times New Roman"/>
          <w:i/>
        </w:rPr>
        <w:t>- prati stanje i primjenu propisa u određenim upravnim područjima iz djelokruga rada upravnog odjela i daje stručne upute za rad</w:t>
      </w:r>
    </w:p>
    <w:p w:rsidR="00023F30" w:rsidRPr="00DE7160" w:rsidRDefault="00023F30" w:rsidP="00023F3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E7160">
        <w:rPr>
          <w:rFonts w:ascii="Times New Roman" w:hAnsi="Times New Roman" w:cs="Times New Roman"/>
          <w:i/>
        </w:rPr>
        <w:t xml:space="preserve">- osigurava koordinaciju i suradnju u radu upravnog odjela s drugim pravnim osobama, drugim upravnim tijelima grada, drugim jedinicama lokalne samouprave, županije i tijelima državne uprave </w:t>
      </w:r>
    </w:p>
    <w:p w:rsidR="00023F30" w:rsidRPr="00DE7160" w:rsidRDefault="00023F30" w:rsidP="00023F30">
      <w:pPr>
        <w:spacing w:after="0" w:line="240" w:lineRule="auto"/>
        <w:rPr>
          <w:rFonts w:ascii="Times New Roman" w:hAnsi="Times New Roman" w:cs="Times New Roman"/>
          <w:i/>
        </w:rPr>
      </w:pPr>
    </w:p>
    <w:p w:rsidR="003A32EF" w:rsidRPr="00DE7160" w:rsidRDefault="003A32EF" w:rsidP="003A32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3A32EF" w:rsidRPr="006614AF" w:rsidRDefault="003A32EF" w:rsidP="00661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Hlk137635055"/>
      <w:r w:rsidRPr="00DE7160">
        <w:rPr>
          <w:rFonts w:ascii="Times New Roman" w:eastAsia="Calibri" w:hAnsi="Times New Roman" w:cs="Times New Roman"/>
          <w:b/>
          <w:bCs/>
          <w:lang w:eastAsia="hr-HR"/>
        </w:rPr>
        <w:t>Provjera znanja i sposobnosti bitnih za obavljanje poslova radnog mjesta pročelnika/ce</w:t>
      </w:r>
      <w:r w:rsidR="00023F30" w:rsidRPr="00DE7160">
        <w:rPr>
          <w:rFonts w:ascii="Times New Roman" w:eastAsia="Calibri" w:hAnsi="Times New Roman" w:cs="Times New Roman"/>
          <w:b/>
          <w:bCs/>
          <w:lang w:eastAsia="hr-HR"/>
        </w:rPr>
        <w:t xml:space="preserve"> </w:t>
      </w:r>
      <w:r w:rsidR="00023F30" w:rsidRPr="00DE716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Upravnog odjela za </w:t>
      </w:r>
      <w:r w:rsidR="00023F30" w:rsidRPr="00DE7160">
        <w:rPr>
          <w:rFonts w:ascii="Times New Roman" w:eastAsia="Calibri" w:hAnsi="Times New Roman" w:cs="Times New Roman"/>
          <w:b/>
        </w:rPr>
        <w:t>komunalno gospodarstvo, poljoprivredu i pravne poslove</w:t>
      </w:r>
      <w:r w:rsidR="006614A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DE7160">
        <w:rPr>
          <w:rFonts w:ascii="Times New Roman" w:eastAsia="Calibri" w:hAnsi="Times New Roman" w:cs="Times New Roman"/>
          <w:b/>
          <w:bCs/>
          <w:lang w:eastAsia="hr-HR"/>
        </w:rPr>
        <w:t>- pismena provjera znanja</w:t>
      </w:r>
      <w:bookmarkEnd w:id="0"/>
      <w:r w:rsidRPr="00DE7160">
        <w:rPr>
          <w:rFonts w:ascii="Times New Roman" w:eastAsia="Calibri" w:hAnsi="Times New Roman" w:cs="Times New Roman"/>
          <w:b/>
          <w:bCs/>
          <w:lang w:eastAsia="hr-HR"/>
        </w:rPr>
        <w:t>: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Pitanja kojima se provjerava znanje i sposobnosti bitne za obavljanje poslova navedenog radnog mjesta temelje se na sljedećim pravnim izvorima:</w:t>
      </w:r>
    </w:p>
    <w:p w:rsidR="003A32EF" w:rsidRPr="00DE7160" w:rsidRDefault="003A32EF" w:rsidP="003A32E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7160">
        <w:rPr>
          <w:rFonts w:ascii="Times New Roman" w:eastAsia="Times New Roman" w:hAnsi="Times New Roman" w:cs="Times New Roman"/>
        </w:rPr>
        <w:t xml:space="preserve">Zakon o lokalnoj i područnoj (regionalnoj) samoupravi („Narodne novine“, br. </w:t>
      </w:r>
      <w:r w:rsidRPr="00DE7160">
        <w:rPr>
          <w:rFonts w:ascii="Times New Roman" w:eastAsia="Calibri" w:hAnsi="Times New Roman" w:cs="Times New Roman"/>
          <w:color w:val="414145"/>
          <w:shd w:val="clear" w:color="auto" w:fill="E4E4E7"/>
        </w:rPr>
        <w:t> </w:t>
      </w:r>
      <w:hyperlink r:id="rId5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33/01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6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60/01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7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129/05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8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109/07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9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125/08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0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36/09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1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36/09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2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150/11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3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144/12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4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  <w:bdr w:val="none" w:sz="0" w:space="0" w:color="auto" w:frame="1"/>
          </w:rPr>
          <w:t>19/13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5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137/15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6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123/17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7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98/19</w:t>
        </w:r>
      </w:hyperlink>
      <w:r w:rsidRPr="006614AF">
        <w:rPr>
          <w:rFonts w:ascii="Times New Roman" w:eastAsia="Calibri" w:hAnsi="Times New Roman" w:cs="Times New Roman"/>
          <w:color w:val="000000" w:themeColor="text1"/>
        </w:rPr>
        <w:t>, </w:t>
      </w:r>
      <w:hyperlink r:id="rId18" w:tgtFrame="_blank" w:history="1">
        <w:r w:rsidRPr="006614AF">
          <w:rPr>
            <w:rFonts w:ascii="Times New Roman" w:eastAsia="Calibri" w:hAnsi="Times New Roman" w:cs="Times New Roman"/>
            <w:bCs/>
            <w:color w:val="000000" w:themeColor="text1"/>
          </w:rPr>
          <w:t>144/20</w:t>
        </w:r>
      </w:hyperlink>
      <w:r w:rsidRPr="00DE7160">
        <w:rPr>
          <w:rFonts w:ascii="Times New Roman" w:eastAsia="Calibri" w:hAnsi="Times New Roman" w:cs="Times New Roman"/>
          <w:color w:val="000000" w:themeColor="text1"/>
        </w:rPr>
        <w:t>)</w:t>
      </w:r>
    </w:p>
    <w:p w:rsidR="003A32EF" w:rsidRPr="00DE7160" w:rsidRDefault="003A32EF" w:rsidP="003A32E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t>Zakon o službenicima i namještenicima u lokalnoj i područnoj (regionalnoj) samoupravi („Narodne novine“, br. 86/08, 61/11, 4/18, 112/19)</w:t>
      </w:r>
    </w:p>
    <w:p w:rsidR="00023F30" w:rsidRPr="00DE7160" w:rsidRDefault="00023F30" w:rsidP="003A32E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t>Zakon o plaćama u lokalnoj i područnoj(regionalnoj) samoupravi (NN 28/10, 10/23)</w:t>
      </w:r>
    </w:p>
    <w:p w:rsidR="00023F30" w:rsidRPr="00DE7160" w:rsidRDefault="00023F30" w:rsidP="003A32E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t>Zakon o komunalnom gospodarstvu (NN 68/18, 110/18, 32/20)</w:t>
      </w:r>
    </w:p>
    <w:p w:rsidR="00023F30" w:rsidRPr="00DE7160" w:rsidRDefault="00023F30" w:rsidP="003A32E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t>Zakon o javnoj nabavi (NN 120/16, 114/22)</w:t>
      </w:r>
    </w:p>
    <w:p w:rsidR="00023F30" w:rsidRPr="00DE7160" w:rsidRDefault="00023F30" w:rsidP="003A32E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t>Zakon o poljoprivrednom zemljištu (NN20/18, 115/18, 98/19, 57/22)</w:t>
      </w:r>
    </w:p>
    <w:p w:rsidR="00023F30" w:rsidRPr="00DE7160" w:rsidRDefault="00023F30" w:rsidP="003A32E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lastRenderedPageBreak/>
        <w:t>Zakon o općem upravnom postupku (NN 47/09, 110/21)</w:t>
      </w:r>
    </w:p>
    <w:p w:rsidR="003A32EF" w:rsidRPr="00DE7160" w:rsidRDefault="003A32EF" w:rsidP="003A32E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t xml:space="preserve">Statut </w:t>
      </w:r>
      <w:r w:rsidR="00023F30" w:rsidRPr="00DE7160">
        <w:rPr>
          <w:rFonts w:ascii="Times New Roman" w:eastAsia="Times New Roman" w:hAnsi="Times New Roman" w:cs="Times New Roman"/>
        </w:rPr>
        <w:t>Grada Otoka (</w:t>
      </w:r>
      <w:r w:rsidR="00023F30" w:rsidRPr="00DE7160">
        <w:rPr>
          <w:rFonts w:ascii="Times New Roman" w:eastAsia="Times New Roman" w:hAnsi="Times New Roman" w:cs="Times New Roman"/>
          <w:color w:val="000000"/>
        </w:rPr>
        <w:t>Službeni vjesnik Vukovarsko-srijemske županije broj 14/09., 4/13. i 6/18. i Službeni vjesnik Grada Otoka broj 02/20., 02/21., i 03/21.- pročišćeni tekst)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u w:val="single"/>
          <w:lang w:eastAsia="hr-HR"/>
        </w:rPr>
      </w:pPr>
      <w:r w:rsidRPr="00DE7160">
        <w:rPr>
          <w:rFonts w:ascii="Times New Roman" w:eastAsia="Calibri" w:hAnsi="Times New Roman" w:cs="Times New Roman"/>
          <w:b/>
          <w:bCs/>
          <w:u w:val="single"/>
          <w:lang w:eastAsia="hr-HR"/>
        </w:rPr>
        <w:t>Podaci o plaći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:rsidR="00023F30" w:rsidRPr="00DE7160" w:rsidRDefault="003A32EF" w:rsidP="00023F3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t>Plaća pročelnika/ce utvrđena je u visini umnoška k</w:t>
      </w:r>
      <w:r w:rsidR="00023F30" w:rsidRPr="00DE7160">
        <w:rPr>
          <w:rFonts w:ascii="Times New Roman" w:eastAsia="Times New Roman" w:hAnsi="Times New Roman" w:cs="Times New Roman"/>
        </w:rPr>
        <w:t>oeficijenta složenosti poslova 3</w:t>
      </w:r>
      <w:r w:rsidRPr="00DE7160">
        <w:rPr>
          <w:rFonts w:ascii="Times New Roman" w:eastAsia="Times New Roman" w:hAnsi="Times New Roman" w:cs="Times New Roman"/>
        </w:rPr>
        <w:t>,00 za radno mjesto pročelnika upravnog odjela  (</w:t>
      </w:r>
      <w:r w:rsidRPr="00DE7160">
        <w:rPr>
          <w:rFonts w:ascii="Times New Roman" w:eastAsia="Calibri" w:hAnsi="Times New Roman" w:cs="Times New Roman"/>
          <w:lang w:eastAsia="hr-HR"/>
        </w:rPr>
        <w:t xml:space="preserve">uvećan za 0,5% za svaku navršenu godinu radnog staža) </w:t>
      </w:r>
      <w:r w:rsidRPr="00DE7160">
        <w:rPr>
          <w:rFonts w:ascii="Times New Roman" w:eastAsia="Times New Roman" w:hAnsi="Times New Roman" w:cs="Times New Roman"/>
        </w:rPr>
        <w:t>i osnovice za izračun plaće, sukladno</w:t>
      </w:r>
      <w:r w:rsidR="00023F30" w:rsidRPr="00DE7160">
        <w:rPr>
          <w:rFonts w:ascii="Times New Roman" w:eastAsia="Times New Roman" w:hAnsi="Times New Roman" w:cs="Times New Roman"/>
        </w:rPr>
        <w:t xml:space="preserve"> Odluci o</w:t>
      </w:r>
      <w:r w:rsidRPr="00DE7160">
        <w:rPr>
          <w:rFonts w:ascii="Times New Roman" w:eastAsia="Times New Roman" w:hAnsi="Times New Roman" w:cs="Times New Roman"/>
        </w:rPr>
        <w:t xml:space="preserve"> </w:t>
      </w:r>
      <w:r w:rsidR="00023F30" w:rsidRPr="00DE7160">
        <w:rPr>
          <w:rFonts w:ascii="Times New Roman" w:hAnsi="Times New Roman" w:cs="Times New Roman"/>
        </w:rPr>
        <w:t>određivanju koeficijenata za obračun plaće službenika i namještenika u upravnim odjelima i službi Grada Otok (Službeni vjesnik Grada Otoka 14/23)</w:t>
      </w:r>
    </w:p>
    <w:p w:rsidR="003A32EF" w:rsidRPr="00DE7160" w:rsidRDefault="003A32EF" w:rsidP="00023F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E7160">
        <w:rPr>
          <w:rFonts w:ascii="Times New Roman" w:hAnsi="Times New Roman" w:cs="Times New Roman"/>
        </w:rPr>
        <w:t xml:space="preserve">Osnovica za obračun plaće utvrđena je Odlukom o visini osnovice za obračun plaće službenika i namještenika </w:t>
      </w:r>
      <w:r w:rsidR="00023F30" w:rsidRPr="00DE7160">
        <w:rPr>
          <w:rFonts w:ascii="Times New Roman" w:hAnsi="Times New Roman" w:cs="Times New Roman"/>
        </w:rPr>
        <w:t>(Službeni vjesnik Grada Otok 8/23)</w:t>
      </w:r>
      <w:r w:rsidRPr="00DE7160">
        <w:rPr>
          <w:rFonts w:ascii="Times New Roman" w:hAnsi="Times New Roman" w:cs="Times New Roman"/>
        </w:rPr>
        <w:t xml:space="preserve">. </w:t>
      </w:r>
    </w:p>
    <w:p w:rsidR="003A32EF" w:rsidRPr="00DE7160" w:rsidRDefault="003A32EF" w:rsidP="003A32E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  <w:r w:rsidRPr="00DE7160">
        <w:rPr>
          <w:rFonts w:ascii="Times New Roman" w:eastAsia="Calibri" w:hAnsi="Times New Roman" w:cs="Times New Roman"/>
          <w:b/>
          <w:bCs/>
          <w:lang w:eastAsia="hr-HR"/>
        </w:rPr>
        <w:t>PRAVILA I POSTUPAK TESTIRANJA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Prethodnoj provjeri znanja i sposobnosti mogu pristupiti samo kandidati/kinje koji ispunjavaju formalne uvjete Javnog natječaja.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Kandidati/kinje koji ostvare pravo na pristup prethodnoj provjeri znanja i sposobnosti bit će o tome obaviješteni putem elektroničke pošte na e-mail adresu koju su naveli u prijavi.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Po dolasku na provjeru znanja, od kandidata/kinja će biti zatraženo predočavanje odgovarajuće identifikacijske isprave radi utvrđivanja identiteta. Kandidati/kinje koji ne mogu dokazati identitet neće moći pristupiti testiranju. Za kandidata/kinju koji ne pristupi testiranju smatrat će se da je povukao prijavu na Javni natječaj.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Kandidati/kinje su dužni pridržavati se utvrđenog vremena i rasporeda testiranja.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DE7160">
        <w:rPr>
          <w:rFonts w:ascii="Times New Roman" w:eastAsia="Calibri" w:hAnsi="Times New Roman" w:cs="Times New Roman"/>
          <w:b/>
          <w:lang w:eastAsia="hr-HR"/>
        </w:rPr>
        <w:t>Prethodna provjera znanja i sposobnosti obuhvaća:</w:t>
      </w:r>
    </w:p>
    <w:p w:rsidR="003A32EF" w:rsidRPr="00DE7160" w:rsidRDefault="003A32EF" w:rsidP="003A32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DE7160">
        <w:rPr>
          <w:rFonts w:ascii="Times New Roman" w:eastAsia="Calibri" w:hAnsi="Times New Roman" w:cs="Times New Roman"/>
          <w:b/>
          <w:lang w:eastAsia="hr-HR"/>
        </w:rPr>
        <w:t>pisano testiranje</w:t>
      </w:r>
    </w:p>
    <w:p w:rsidR="003A32EF" w:rsidRPr="00DE7160" w:rsidRDefault="003A32EF" w:rsidP="003A32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DE7160">
        <w:rPr>
          <w:rFonts w:ascii="Times New Roman" w:eastAsia="Calibri" w:hAnsi="Times New Roman" w:cs="Times New Roman"/>
          <w:b/>
          <w:lang w:eastAsia="hr-HR"/>
        </w:rPr>
        <w:t xml:space="preserve">intervju s kandidatima koji su ostvarili najmanje 50% bodova na provedenom pisanom testiranju 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Za svaki dio provjere znanja dodjeljuje se od 1 do 10 bodova. 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Po utvrđivanju identiteta, kandidati/kinje će pristupiti pisanoj provjeri znanja.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Navedena provjera traje 60 minuta.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Za vrijeme provjere znanja i sposobnosti </w:t>
      </w:r>
      <w:r w:rsidRPr="00DE7160">
        <w:rPr>
          <w:rFonts w:ascii="Times New Roman" w:eastAsia="Calibri" w:hAnsi="Times New Roman" w:cs="Times New Roman"/>
          <w:b/>
          <w:bCs/>
          <w:lang w:eastAsia="hr-HR"/>
        </w:rPr>
        <w:t>nije dopušteno:</w:t>
      </w:r>
    </w:p>
    <w:p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koristiti se bilo kakvom literaturom odnosno bilješkama;</w:t>
      </w:r>
    </w:p>
    <w:p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koristiti mobitel ili druga komunikacijska sredstva</w:t>
      </w:r>
    </w:p>
    <w:p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napuštati prostoriju u kojoj se odvija provjera</w:t>
      </w:r>
    </w:p>
    <w:p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razgovarati s ostalim kandidatima</w:t>
      </w:r>
    </w:p>
    <w:p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na bilo koji drugi način ometati koncentraciju ostalih kandidata.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Kandidati/kinje koji će se ponašati neprimjereno ili će prekršiti jedno od gore navedenih pravila biti će udaljeni s testiranja, a njihov rezultat i rad Povjerenstvo za provedbu Javnog natječaja neće bodovati.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</w:rPr>
        <w:t xml:space="preserve">O vremenu i mjestu održavanja intervjua kandidati/kinjebiti će </w:t>
      </w:r>
      <w:r w:rsidRPr="00DE7160">
        <w:rPr>
          <w:rFonts w:ascii="Times New Roman" w:eastAsia="Calibri" w:hAnsi="Times New Roman" w:cs="Times New Roman"/>
          <w:lang w:eastAsia="hr-HR"/>
        </w:rPr>
        <w:t>obaviješteni putem elektroničke pošte na e-mail adresu koju su naveli u prijavi.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lastRenderedPageBreak/>
        <w:t>Intervju se provodi samo s kandidatima koji su ostvarili najmanje 50% bodova iz svakog dijela provjere znanje i sposobnosti kandidata/kinje na provedenom testiranju.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Povjerenstvo za provedbu Javnog natječaja kroz intervju s kandidatima/kinjama utvrđuje interese, profesionalne ciljeve i motivaciju istih za rad u jedinici </w:t>
      </w:r>
      <w:r w:rsidR="00DE7160" w:rsidRPr="00DE7160">
        <w:rPr>
          <w:rFonts w:ascii="Times New Roman" w:eastAsia="Calibri" w:hAnsi="Times New Roman" w:cs="Times New Roman"/>
          <w:lang w:eastAsia="hr-HR"/>
        </w:rPr>
        <w:t xml:space="preserve">lokalne </w:t>
      </w:r>
      <w:r w:rsidRPr="00DE7160">
        <w:rPr>
          <w:rFonts w:ascii="Times New Roman" w:eastAsia="Calibri" w:hAnsi="Times New Roman" w:cs="Times New Roman"/>
          <w:lang w:eastAsia="hr-HR"/>
        </w:rPr>
        <w:t>samouprave.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Rezultati intervjua boduju se na isti način kao pisano testiranje.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Kandidati/kinje koji su pristupili testiranju imaju pravo uvida u rezultate provedenog postupka.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Nakon provedenog testiranja i intervjua Povjerenstvo za provedbu Javnog natječaja utvrđuje rang-listu kandidata prema ukupnom broju bodova ostvarenih na testiranju i intervjuu.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Povjerenstvo za provedbu Javnog natječaja dostavlja </w:t>
      </w:r>
      <w:r w:rsidR="00DE7160" w:rsidRPr="00DE7160">
        <w:rPr>
          <w:rFonts w:ascii="Times New Roman" w:eastAsia="Calibri" w:hAnsi="Times New Roman" w:cs="Times New Roman"/>
          <w:lang w:eastAsia="hr-HR"/>
        </w:rPr>
        <w:t xml:space="preserve">gradonačelniku </w:t>
      </w:r>
      <w:r w:rsidRPr="00DE7160">
        <w:rPr>
          <w:rFonts w:ascii="Times New Roman" w:eastAsia="Calibri" w:hAnsi="Times New Roman" w:cs="Times New Roman"/>
          <w:lang w:eastAsia="hr-HR"/>
        </w:rPr>
        <w:t>Izvješće o provedenom postupku, koje potpisuju svi članovi Povjerenstva za provedbu Javnog natječaja.</w:t>
      </w:r>
    </w:p>
    <w:p w:rsidR="003A32EF" w:rsidRPr="00DE7160" w:rsidRDefault="00DE7160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Gradonačelnik </w:t>
      </w:r>
      <w:r w:rsidR="003A32EF" w:rsidRPr="00DE7160">
        <w:rPr>
          <w:rFonts w:ascii="Times New Roman" w:eastAsia="Calibri" w:hAnsi="Times New Roman" w:cs="Times New Roman"/>
          <w:lang w:eastAsia="hr-HR"/>
        </w:rPr>
        <w:t>donosi Rješenje o imenovanju pročelnika/ice, koje će biti dostavljeno svim kandidatima/kandidatkinjama koji ispunjavaju formalne uvjete Javnog natječaja.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Kandidat/kinja koji nije zadovoljan Rješenjem o imenovanju izabranog kandidata/kinje može pokrenuti upravni sporu roku od 30 dana od dana dostave rješenja o imenovanju.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hr-HR"/>
        </w:rPr>
      </w:pP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hr-HR"/>
        </w:rPr>
      </w:pPr>
      <w:r w:rsidRPr="00DE7160">
        <w:rPr>
          <w:rFonts w:ascii="Times New Roman" w:eastAsia="Calibri" w:hAnsi="Times New Roman" w:cs="Times New Roman"/>
          <w:b/>
          <w:bCs/>
          <w:lang w:eastAsia="hr-HR"/>
        </w:rPr>
        <w:t xml:space="preserve">POZIV ZA TESTIRANJE BITI ĆE OBJAVLJEN, NAJMANJE 5 DANA PRIJE TESTIRANJA NA WEB STRANICI </w:t>
      </w:r>
      <w:r w:rsidR="00DE7160" w:rsidRPr="00DE7160">
        <w:rPr>
          <w:rFonts w:ascii="Times New Roman" w:eastAsia="Calibri" w:hAnsi="Times New Roman" w:cs="Times New Roman"/>
          <w:b/>
          <w:bCs/>
          <w:lang w:eastAsia="hr-HR"/>
        </w:rPr>
        <w:t>GRADA OTOK</w:t>
      </w:r>
    </w:p>
    <w:p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:rsidR="003A32EF" w:rsidRPr="00DE7160" w:rsidRDefault="003A32EF" w:rsidP="00DE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hr-HR"/>
        </w:rPr>
      </w:pPr>
    </w:p>
    <w:p w:rsidR="003A32EF" w:rsidRPr="00DE4603" w:rsidRDefault="006614AF" w:rsidP="00DE4603">
      <w:pPr>
        <w:tabs>
          <w:tab w:val="left" w:pos="5832"/>
        </w:tabs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ab/>
      </w:r>
      <w:r w:rsidR="00DE7160" w:rsidRPr="00DE4603">
        <w:rPr>
          <w:rFonts w:ascii="Times New Roman" w:eastAsia="Calibri" w:hAnsi="Times New Roman" w:cs="Times New Roman"/>
          <w:b/>
        </w:rPr>
        <w:t>POVJERENSTVO ZA</w:t>
      </w:r>
    </w:p>
    <w:p w:rsidR="003A32EF" w:rsidRPr="00DE4603" w:rsidRDefault="006614AF" w:rsidP="00DE4603">
      <w:pPr>
        <w:tabs>
          <w:tab w:val="left" w:pos="5832"/>
        </w:tabs>
        <w:spacing w:after="0"/>
        <w:rPr>
          <w:rFonts w:ascii="Times New Roman" w:hAnsi="Times New Roman" w:cs="Times New Roman"/>
          <w:b/>
        </w:rPr>
      </w:pPr>
      <w:r w:rsidRPr="00DE460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DE7160" w:rsidRPr="00DE4603">
        <w:rPr>
          <w:rFonts w:ascii="Times New Roman" w:hAnsi="Times New Roman" w:cs="Times New Roman"/>
          <w:b/>
        </w:rPr>
        <w:t>PROVEDBU JAVNOG NATJEČAJA</w:t>
      </w:r>
    </w:p>
    <w:p w:rsidR="003A32EF" w:rsidRPr="00DE7160" w:rsidRDefault="003A32EF" w:rsidP="00DE4603">
      <w:pPr>
        <w:spacing w:after="0"/>
        <w:rPr>
          <w:rFonts w:ascii="Times New Roman" w:hAnsi="Times New Roman" w:cs="Times New Roman"/>
        </w:rPr>
      </w:pPr>
    </w:p>
    <w:sectPr w:rsidR="003A32EF" w:rsidRPr="00DE7160" w:rsidSect="00EA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4D0"/>
    <w:multiLevelType w:val="multilevel"/>
    <w:tmpl w:val="54D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845F8"/>
    <w:multiLevelType w:val="hybridMultilevel"/>
    <w:tmpl w:val="E4F4F074"/>
    <w:lvl w:ilvl="0" w:tplc="67D0F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2732B"/>
    <w:multiLevelType w:val="hybridMultilevel"/>
    <w:tmpl w:val="B832C786"/>
    <w:lvl w:ilvl="0" w:tplc="041A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90276"/>
    <w:multiLevelType w:val="hybridMultilevel"/>
    <w:tmpl w:val="256E352C"/>
    <w:lvl w:ilvl="0" w:tplc="0B563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2EF"/>
    <w:rsid w:val="00005CB7"/>
    <w:rsid w:val="00023F30"/>
    <w:rsid w:val="002A42DB"/>
    <w:rsid w:val="003A32EF"/>
    <w:rsid w:val="0040160D"/>
    <w:rsid w:val="00427EE4"/>
    <w:rsid w:val="00617FB5"/>
    <w:rsid w:val="006614AF"/>
    <w:rsid w:val="0073093B"/>
    <w:rsid w:val="008B2B9F"/>
    <w:rsid w:val="00DE4603"/>
    <w:rsid w:val="00DE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EF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3A32EF"/>
    <w:rPr>
      <w:rFonts w:ascii="Tahoma" w:eastAsia="Times New Roman" w:hAnsi="Tahoma" w:cs="Tahoma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3A32EF"/>
    <w:pPr>
      <w:spacing w:after="0" w:line="240" w:lineRule="auto"/>
      <w:ind w:firstLine="708"/>
      <w:jc w:val="both"/>
    </w:pPr>
    <w:rPr>
      <w:rFonts w:ascii="Tahoma" w:eastAsia="Times New Roman" w:hAnsi="Tahoma" w:cs="Tahoma"/>
      <w:sz w:val="24"/>
      <w:szCs w:val="24"/>
      <w:lang w:eastAsia="hr-HR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3A32EF"/>
  </w:style>
  <w:style w:type="paragraph" w:customStyle="1" w:styleId="T-98-2">
    <w:name w:val="T-9/8-2"/>
    <w:rsid w:val="003A32EF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3" TargetMode="External"/><Relationship Id="rId13" Type="http://schemas.openxmlformats.org/officeDocument/2006/relationships/hyperlink" Target="https://www.zakon.hr/cms.htm?id=268" TargetMode="External"/><Relationship Id="rId18" Type="http://schemas.openxmlformats.org/officeDocument/2006/relationships/hyperlink" Target="https://www.zakon.hr/cms.htm?id=46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62" TargetMode="External"/><Relationship Id="rId12" Type="http://schemas.openxmlformats.org/officeDocument/2006/relationships/hyperlink" Target="https://www.zakon.hr/cms.htm?id=267" TargetMode="External"/><Relationship Id="rId17" Type="http://schemas.openxmlformats.org/officeDocument/2006/relationships/hyperlink" Target="https://www.zakon.hr/cms.htm?id=407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1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1" TargetMode="External"/><Relationship Id="rId11" Type="http://schemas.openxmlformats.org/officeDocument/2006/relationships/hyperlink" Target="https://www.zakon.hr/cms.htm?id=266" TargetMode="External"/><Relationship Id="rId5" Type="http://schemas.openxmlformats.org/officeDocument/2006/relationships/hyperlink" Target="https://www.zakon.hr/cms.htm?id=260" TargetMode="External"/><Relationship Id="rId15" Type="http://schemas.openxmlformats.org/officeDocument/2006/relationships/hyperlink" Target="https://www.zakon.hr/cms.htm?id=15727" TargetMode="External"/><Relationship Id="rId10" Type="http://schemas.openxmlformats.org/officeDocument/2006/relationships/hyperlink" Target="https://www.zakon.hr/cms.htm?id=2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4" TargetMode="External"/><Relationship Id="rId14" Type="http://schemas.openxmlformats.org/officeDocument/2006/relationships/hyperlink" Target="https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Cvitković</dc:creator>
  <cp:keywords/>
  <dc:description/>
  <cp:lastModifiedBy>Agneza Novoselac</cp:lastModifiedBy>
  <cp:revision>6</cp:revision>
  <cp:lastPrinted>2024-01-25T08:04:00Z</cp:lastPrinted>
  <dcterms:created xsi:type="dcterms:W3CDTF">2023-10-12T06:19:00Z</dcterms:created>
  <dcterms:modified xsi:type="dcterms:W3CDTF">2024-02-02T12:56:00Z</dcterms:modified>
</cp:coreProperties>
</file>