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06A0" w14:textId="77777777" w:rsidR="00801024" w:rsidRPr="00801024" w:rsidRDefault="00801024" w:rsidP="00801024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801024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14:paraId="11BC2615" w14:textId="77777777" w:rsidR="00801024" w:rsidRPr="00801024" w:rsidRDefault="00801024" w:rsidP="0080102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01024" w:rsidRPr="00801024" w14:paraId="66ECA90C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A0DB424" w14:textId="77777777" w:rsidR="00801024" w:rsidRPr="00801024" w:rsidRDefault="00801024" w:rsidP="00801024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7AC4B1F9" w14:textId="77777777" w:rsidR="00801024" w:rsidRPr="00801024" w:rsidRDefault="00801024" w:rsidP="0080102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sa zainteresiranom javnošću </w:t>
            </w:r>
          </w:p>
        </w:tc>
      </w:tr>
      <w:tr w:rsidR="00801024" w:rsidRPr="00801024" w14:paraId="7F68979B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A7C" w14:textId="77777777" w:rsidR="00E95686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3DEADAD1" w14:textId="77777777" w:rsidR="00801024" w:rsidRPr="00E95686" w:rsidRDefault="007216C2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Odluka o Proračunu Grada Otoka za 2024 i projekcije za 2025. </w:t>
            </w:r>
            <w:r w:rsidR="007620FB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i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2026. godinu</w:t>
            </w:r>
          </w:p>
          <w:p w14:paraId="75D9609C" w14:textId="77777777" w:rsidR="00801024" w:rsidRPr="00801024" w:rsidRDefault="00801024" w:rsidP="00801024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2F5C34F6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801024" w:rsidRPr="00801024" w14:paraId="56DF61A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1822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1E3AFE3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Upravni odjel za 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financije</w:t>
            </w:r>
            <w:r w:rsidR="00E33322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, gospodarstvo i poljoprivredu</w:t>
            </w:r>
          </w:p>
        </w:tc>
      </w:tr>
      <w:tr w:rsidR="00801024" w:rsidRPr="00801024" w14:paraId="16F482E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CA0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Početak savjetovanja:</w:t>
            </w:r>
          </w:p>
          <w:p w14:paraId="09A0A5F9" w14:textId="77777777" w:rsidR="00801024" w:rsidRPr="00801024" w:rsidRDefault="007216C2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30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 listopad 2023.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E7B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14:paraId="2AC65D42" w14:textId="77777777" w:rsidR="00801024" w:rsidRPr="00801024" w:rsidRDefault="007216C2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30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 studenog</w:t>
            </w:r>
            <w:r w:rsidR="007620FB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202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3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</w:tr>
      <w:tr w:rsidR="00801024" w:rsidRPr="00801024" w14:paraId="4228B724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F5853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7FC31A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09DB2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3EA9B8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6A95C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9BFAA0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F90E53D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5E3860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A5B801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E641F5B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E0F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14:paraId="14D4AAA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7E6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317E4A" w14:textId="77777777" w:rsidTr="00801024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6D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3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3C0BD33C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CDF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0C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115FF45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741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1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25FF0C1A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032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7BF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475F71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006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F9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5C1D3F5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363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E92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1AFC0F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7ED2B55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Popunjeni obrazac s prilogom potrebno je dostaviti zaključno do </w:t>
            </w:r>
            <w:r w:rsidR="007216C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30</w:t>
            </w:r>
            <w:r w:rsidR="00BD5171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  <w:r w:rsidR="00F14C4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studenog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202</w:t>
            </w:r>
            <w:r w:rsidR="00F14C4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3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 godine na adresu elektronske pošte: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info@otok.hr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, odnosno poštom na adresu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Trg kralja Tomislava 6/a, 32252 Otok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14:paraId="20A420B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svi pristigli prijedlozi bit će razmotreni, te  prihvaćeni ili odbijeni, odnosno primljeni na znanje uz obrazloženja koja su sastavni dio Izvješća o savjetovanju s javnošću. Izvješće će biti objavljeno u </w:t>
            </w:r>
            <w:r w:rsidR="00E95686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studenome 2023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.. godine na internetskoj stranici Grada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Otoka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, www.</w:t>
            </w:r>
            <w:r w:rsidR="00E33322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otok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.hr.</w:t>
            </w:r>
          </w:p>
          <w:p w14:paraId="5388C9B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E8A4F6C" w14:textId="77777777" w:rsidR="006F5E02" w:rsidRDefault="006F5E02"/>
    <w:sectPr w:rsidR="006F5E02" w:rsidSect="005E2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4"/>
    <w:rsid w:val="00236DB2"/>
    <w:rsid w:val="003A15C4"/>
    <w:rsid w:val="005E2F9F"/>
    <w:rsid w:val="006F5E02"/>
    <w:rsid w:val="00714225"/>
    <w:rsid w:val="007216C2"/>
    <w:rsid w:val="007620FB"/>
    <w:rsid w:val="007707F1"/>
    <w:rsid w:val="00801024"/>
    <w:rsid w:val="008B28BC"/>
    <w:rsid w:val="00BD5171"/>
    <w:rsid w:val="00E33322"/>
    <w:rsid w:val="00E95686"/>
    <w:rsid w:val="00F14C43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9C1E"/>
  <w15:docId w15:val="{FCA5D081-F14F-4B84-9DB1-6B76EF72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Sluzba Zupanja</dc:creator>
  <cp:lastModifiedBy>Gradska knjižnica Otok</cp:lastModifiedBy>
  <cp:revision>2</cp:revision>
  <dcterms:created xsi:type="dcterms:W3CDTF">2023-11-29T10:17:00Z</dcterms:created>
  <dcterms:modified xsi:type="dcterms:W3CDTF">2023-11-29T10:17:00Z</dcterms:modified>
</cp:coreProperties>
</file>