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ABCD" w14:textId="77777777" w:rsidR="00006195" w:rsidRPr="00007A71" w:rsidRDefault="00006195" w:rsidP="000061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4AA5" w14:textId="4F1C3041" w:rsidR="00006195" w:rsidRDefault="00006195" w:rsidP="000061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A71">
        <w:rPr>
          <w:rFonts w:ascii="Times New Roman" w:hAnsi="Times New Roman" w:cs="Times New Roman"/>
          <w:b/>
          <w:bCs/>
          <w:sz w:val="24"/>
          <w:szCs w:val="24"/>
        </w:rPr>
        <w:t>OBRAZLOŽENJ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8E3C453" w14:textId="7F0D9A63" w:rsidR="00006195" w:rsidRPr="00007A71" w:rsidRDefault="00006195" w:rsidP="000061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Prijedloga Odluke</w:t>
      </w:r>
    </w:p>
    <w:p w14:paraId="1072C399" w14:textId="46C45D45" w:rsidR="00006195" w:rsidRDefault="00006195" w:rsidP="000061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A71">
        <w:rPr>
          <w:rFonts w:ascii="Times New Roman" w:hAnsi="Times New Roman" w:cs="Times New Roman"/>
          <w:b/>
          <w:bCs/>
          <w:sz w:val="24"/>
          <w:szCs w:val="24"/>
        </w:rPr>
        <w:t>o porezu na potrošnju</w:t>
      </w:r>
    </w:p>
    <w:p w14:paraId="7F05B453" w14:textId="77777777" w:rsidR="00006195" w:rsidRPr="00007A71" w:rsidRDefault="00006195" w:rsidP="0000619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67C2E" w14:textId="77777777" w:rsidR="00006195" w:rsidRPr="00007A71" w:rsidRDefault="00006195" w:rsidP="000061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Zakonom o Izmjeni i dopuni Zakona o lokalnim porezima (čl</w:t>
      </w:r>
      <w:r>
        <w:rPr>
          <w:rFonts w:ascii="Times New Roman" w:hAnsi="Times New Roman" w:cs="Times New Roman"/>
          <w:sz w:val="24"/>
          <w:szCs w:val="24"/>
        </w:rPr>
        <w:t>anak</w:t>
      </w:r>
      <w:r w:rsidRPr="00007A71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A71">
        <w:rPr>
          <w:rFonts w:ascii="Times New Roman" w:hAnsi="Times New Roman" w:cs="Times New Roman"/>
          <w:sz w:val="24"/>
          <w:szCs w:val="24"/>
        </w:rPr>
        <w:t>) propisana je obveza jedinica lokalne samouprave da do 15. prosinca 2023. godine usklade svoje odluke o lokalnim porezima sa odredbom ovoga zakona. Trenutne važeće odluke ostaju na snazi do 31. prosinca 2023. godine, a nova odluka stupila bi na snagu 1. siječnja 2024. godine.</w:t>
      </w:r>
    </w:p>
    <w:p w14:paraId="6296C202" w14:textId="77777777" w:rsidR="00006195" w:rsidRPr="00007A71" w:rsidRDefault="00006195" w:rsidP="00006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ab/>
        <w:t>Izmjenom zakona briše se prirez poreza na dohodak kao prihod proračuna Grada od 1. siječnja 2024. godine, te ostaje samo porez na potrošnju u visini odnosno stopi 3% kao što je i do sada.</w:t>
      </w:r>
    </w:p>
    <w:p w14:paraId="4C9DA3A3" w14:textId="77777777" w:rsidR="00006195" w:rsidRPr="00007A71" w:rsidRDefault="00006195" w:rsidP="000061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 xml:space="preserve">Odlukom se ne predviđa uvođenje poreza na kuće za odmor i poreza na korištenje javnih površina kao mogućih prihoda gradskog proračuna. </w:t>
      </w:r>
    </w:p>
    <w:p w14:paraId="569B870B" w14:textId="77777777" w:rsidR="00006195" w:rsidRDefault="00006195" w:rsidP="00006195">
      <w:pPr>
        <w:spacing w:line="480" w:lineRule="auto"/>
        <w:jc w:val="center"/>
      </w:pPr>
    </w:p>
    <w:p w14:paraId="326C3603" w14:textId="77777777" w:rsidR="00094F23" w:rsidRDefault="00094F23"/>
    <w:sectPr w:rsidR="0009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95"/>
    <w:rsid w:val="00006195"/>
    <w:rsid w:val="000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EDFC"/>
  <w15:chartTrackingRefBased/>
  <w15:docId w15:val="{60FD2DE4-28AD-489F-8C69-DC7E7B9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Berislav Vuković</dc:creator>
  <cp:keywords/>
  <dc:description/>
  <cp:lastModifiedBy>Berislav Vuković</cp:lastModifiedBy>
  <cp:revision>1</cp:revision>
  <dcterms:created xsi:type="dcterms:W3CDTF">2023-10-20T12:47:00Z</dcterms:created>
  <dcterms:modified xsi:type="dcterms:W3CDTF">2023-10-20T12:49:00Z</dcterms:modified>
</cp:coreProperties>
</file>